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E93" w:rsidRDefault="004C7E93" w:rsidP="004C7E93">
      <w:pPr>
        <w:pStyle w:val="ssPara1"/>
        <w:numPr>
          <w:ilvl w:val="0"/>
          <w:numId w:val="6"/>
        </w:numPr>
        <w:jc w:val="left"/>
        <w:rPr>
          <w:b/>
        </w:rPr>
      </w:pPr>
      <w:r>
        <w:rPr>
          <w:b/>
        </w:rPr>
        <w:t>Please translate the following tasks:</w:t>
      </w:r>
    </w:p>
    <w:p w:rsidR="008164EE" w:rsidRPr="008164EE" w:rsidRDefault="008164EE" w:rsidP="008164EE">
      <w:pPr>
        <w:pStyle w:val="ssPara1"/>
        <w:jc w:val="left"/>
        <w:rPr>
          <w:b/>
        </w:rPr>
      </w:pPr>
      <w:r w:rsidRPr="008164EE">
        <w:rPr>
          <w:b/>
        </w:rPr>
        <w:t xml:space="preserve">Task 1: </w:t>
      </w:r>
    </w:p>
    <w:p w:rsidR="008164EE" w:rsidRDefault="008164EE" w:rsidP="000750F5">
      <w:pPr>
        <w:pStyle w:val="ssPara1"/>
      </w:pPr>
      <w:r>
        <w:t>“</w:t>
      </w:r>
      <w:r w:rsidRPr="003B5794">
        <w:t>Non-United States Person</w:t>
      </w:r>
      <w:r>
        <w:t>”</w:t>
      </w:r>
    </w:p>
    <w:p w:rsidR="008164EE" w:rsidRDefault="00231C1E" w:rsidP="000750F5">
      <w:pPr>
        <w:pStyle w:val="ssPara1"/>
        <w:numPr>
          <w:ilvl w:val="0"/>
          <w:numId w:val="3"/>
        </w:numPr>
      </w:pPr>
      <w:r w:rsidRPr="003B5794">
        <w:t xml:space="preserve">a natural person who is not a resident of the United States, </w:t>
      </w:r>
    </w:p>
    <w:p w:rsidR="008164EE" w:rsidRDefault="00231C1E" w:rsidP="000750F5">
      <w:pPr>
        <w:pStyle w:val="ssPara1"/>
        <w:numPr>
          <w:ilvl w:val="0"/>
          <w:numId w:val="3"/>
        </w:numPr>
      </w:pPr>
      <w:r w:rsidRPr="003B5794">
        <w:t xml:space="preserve">a partnership, corporation or other entity, other than an entity organised principally for passive investment, organised under the laws of a non-US jurisdiction and which has its principal place of business in a non-US jurisdiction, </w:t>
      </w:r>
    </w:p>
    <w:p w:rsidR="008164EE" w:rsidRDefault="00231C1E" w:rsidP="000750F5">
      <w:pPr>
        <w:pStyle w:val="ssPara1"/>
        <w:numPr>
          <w:ilvl w:val="0"/>
          <w:numId w:val="3"/>
        </w:numPr>
      </w:pPr>
      <w:r w:rsidRPr="003B5794">
        <w:t xml:space="preserve">an estate or trust, the income of which is not subject to United States income tax regardless of source, </w:t>
      </w:r>
    </w:p>
    <w:p w:rsidR="008164EE" w:rsidRDefault="00231C1E" w:rsidP="000750F5">
      <w:pPr>
        <w:pStyle w:val="ssPara1"/>
        <w:numPr>
          <w:ilvl w:val="0"/>
          <w:numId w:val="3"/>
        </w:numPr>
      </w:pPr>
      <w:r w:rsidRPr="003B5794">
        <w:t>an entity organised principally for passive investment su</w:t>
      </w:r>
      <w:bookmarkStart w:id="0" w:name="_GoBack"/>
      <w:bookmarkEnd w:id="0"/>
      <w:r w:rsidRPr="003B5794">
        <w:t>ch as a pool, investment company or other similar entity, provided that units of participation in the entity held by persons who do not qualify as Non-United States Persons or otherwise as qualified eligible persons represent in the aggregate less than 10 per cent of the beneficial interest in the entity and that such entity was not formed principally for the purpose of facilitating investment by persons which do not qualify as Non-United States Persons in a commodity pool with respect to which the commodity pool operator is exempt from certain requirements of Part 4 of the CFTC</w:t>
      </w:r>
      <w:r>
        <w:t>’</w:t>
      </w:r>
      <w:r w:rsidRPr="003B5794">
        <w:t xml:space="preserve">s regulations by virtue of its participants being Non-United States Persons, and </w:t>
      </w:r>
    </w:p>
    <w:p w:rsidR="008164EE" w:rsidRDefault="00231C1E" w:rsidP="000750F5">
      <w:pPr>
        <w:pStyle w:val="ssPara1"/>
        <w:numPr>
          <w:ilvl w:val="0"/>
          <w:numId w:val="3"/>
        </w:numPr>
      </w:pPr>
      <w:r w:rsidRPr="003B5794">
        <w:t>a pension plan for employees, officers or principals of an entity organised and with its principal place of business outside the United Sta</w:t>
      </w:r>
      <w:r w:rsidR="008164EE">
        <w:t>tes.</w:t>
      </w:r>
    </w:p>
    <w:p w:rsidR="008164EE" w:rsidRPr="008164EE" w:rsidRDefault="008164EE" w:rsidP="000750F5">
      <w:pPr>
        <w:pStyle w:val="ssPara1"/>
        <w:rPr>
          <w:b/>
        </w:rPr>
      </w:pPr>
      <w:r w:rsidRPr="008164EE">
        <w:rPr>
          <w:b/>
        </w:rPr>
        <w:t>Task 2:</w:t>
      </w:r>
    </w:p>
    <w:p w:rsidR="00231C1E" w:rsidRDefault="00231C1E" w:rsidP="000750F5">
      <w:pPr>
        <w:pStyle w:val="ssPara1"/>
        <w:spacing w:line="260" w:lineRule="atLeast"/>
      </w:pPr>
      <w:r>
        <w:t>The Company is not, nor has been since its incorporation, engaged in any litigation or arbitration and the Directors are not aware of any litigation or arbitration or claims pending or threatened against the Company.</w:t>
      </w:r>
    </w:p>
    <w:p w:rsidR="008164EE" w:rsidRPr="008164EE" w:rsidRDefault="008164EE" w:rsidP="000750F5">
      <w:pPr>
        <w:pStyle w:val="ssPara1"/>
        <w:spacing w:line="260" w:lineRule="atLeast"/>
        <w:rPr>
          <w:b/>
        </w:rPr>
      </w:pPr>
      <w:r w:rsidRPr="008164EE">
        <w:rPr>
          <w:b/>
        </w:rPr>
        <w:t>Task 3:</w:t>
      </w:r>
    </w:p>
    <w:p w:rsidR="008164EE" w:rsidRDefault="0043334C" w:rsidP="000750F5">
      <w:pPr>
        <w:pStyle w:val="ssPara1"/>
      </w:pPr>
      <w:r w:rsidRPr="003B5794">
        <w:t>On the basis of current Cayman Islands law and practice, the Company is not liable to taxation in the Cayman Islands.</w:t>
      </w:r>
    </w:p>
    <w:p w:rsidR="008164EE" w:rsidRPr="008164EE" w:rsidRDefault="008164EE" w:rsidP="000750F5">
      <w:pPr>
        <w:pStyle w:val="ssPara1"/>
        <w:rPr>
          <w:b/>
        </w:rPr>
      </w:pPr>
      <w:r w:rsidRPr="008164EE">
        <w:rPr>
          <w:b/>
        </w:rPr>
        <w:t>Task 4:</w:t>
      </w:r>
    </w:p>
    <w:p w:rsidR="0043334C" w:rsidRPr="003B5794" w:rsidRDefault="0043334C" w:rsidP="000750F5">
      <w:pPr>
        <w:pStyle w:val="ssPara1"/>
      </w:pPr>
      <w:r w:rsidRPr="003B5794">
        <w:t xml:space="preserve">In addition to withholding and other taxes in respect of their investments, Investment Vehicles may be subject to taxation, </w:t>
      </w:r>
      <w:r w:rsidRPr="003B5794">
        <w:rPr>
          <w:i/>
        </w:rPr>
        <w:t>inter alia</w:t>
      </w:r>
      <w:r w:rsidRPr="003B5794">
        <w:t>, in the jurisdiction in which they are incorporated, although it is expected that the amount of any resulting liability should only be charged by reference to the residual taxable profit retained by such Investment Vehicles. Where appropriate, rulings will be sought from the relevant taxation authorities that this is the case, although it cannot be guaranteed that such rulings will be obtained in all circumstances.</w:t>
      </w:r>
    </w:p>
    <w:p w:rsidR="003177AF" w:rsidRDefault="0043334C" w:rsidP="000750F5">
      <w:pPr>
        <w:pStyle w:val="ssPara1"/>
      </w:pPr>
      <w:r w:rsidRPr="003B5794">
        <w:t>Prospective applicants for Shares should consult their own advisers as to the particular tax consequences of their proposed investment in the Company.</w:t>
      </w:r>
    </w:p>
    <w:sectPr w:rsidR="003177A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7E93" w:rsidRDefault="004C7E93" w:rsidP="004C7E93">
      <w:pPr>
        <w:spacing w:after="0" w:line="240" w:lineRule="auto"/>
      </w:pPr>
      <w:r>
        <w:separator/>
      </w:r>
    </w:p>
  </w:endnote>
  <w:endnote w:type="continuationSeparator" w:id="0">
    <w:p w:rsidR="004C7E93" w:rsidRDefault="004C7E93" w:rsidP="004C7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E93" w:rsidRPr="004C7E93" w:rsidRDefault="004C7E93">
    <w:pPr>
      <w:pStyle w:val="Footer"/>
      <w:rPr>
        <w:sz w:val="20"/>
      </w:rPr>
    </w:pPr>
    <w:r w:rsidRPr="004C7E93">
      <w:rPr>
        <w:sz w:val="20"/>
      </w:rPr>
      <w:fldChar w:fldCharType="begin"/>
    </w:r>
    <w:r w:rsidRPr="004C7E93">
      <w:rPr>
        <w:sz w:val="20"/>
      </w:rPr>
      <w:instrText xml:space="preserve"> DATE \@ "dddd, dd MMMM yyyy" </w:instrText>
    </w:r>
    <w:r w:rsidRPr="004C7E93">
      <w:rPr>
        <w:sz w:val="20"/>
      </w:rPr>
      <w:fldChar w:fldCharType="separate"/>
    </w:r>
    <w:r w:rsidRPr="004C7E93">
      <w:rPr>
        <w:noProof/>
        <w:sz w:val="20"/>
      </w:rPr>
      <w:t>Thursday, 10 August 2017</w:t>
    </w:r>
    <w:r w:rsidRPr="004C7E93">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7E93" w:rsidRDefault="004C7E93" w:rsidP="004C7E93">
      <w:pPr>
        <w:spacing w:after="0" w:line="240" w:lineRule="auto"/>
      </w:pPr>
      <w:r>
        <w:separator/>
      </w:r>
    </w:p>
  </w:footnote>
  <w:footnote w:type="continuationSeparator" w:id="0">
    <w:p w:rsidR="004C7E93" w:rsidRDefault="004C7E93" w:rsidP="004C7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E93" w:rsidRDefault="004C7E93">
    <w:pPr>
      <w:pStyle w:val="Header"/>
    </w:pPr>
    <w:r w:rsidRPr="000E75E6">
      <w:rPr>
        <w:sz w:val="12"/>
      </w:rPr>
      <w:t>This document is confidential and should not be shared with any third party without approval from Webcertain Translates. The document is managed by Webcertain Translates and it will be stored for future reference only. This document will not be used in any other way than testing purposes by Webcertain Translates or the Client.</w:t>
    </w:r>
    <w:r>
      <w:ptab w:relativeTo="margin" w:alignment="center" w:leader="none"/>
    </w:r>
    <w:r>
      <w:ptab w:relativeTo="margin" w:alignment="right" w:leader="none"/>
    </w:r>
    <w:r>
      <w:rPr>
        <w:noProof/>
      </w:rPr>
      <w:drawing>
        <wp:inline distT="0" distB="0" distL="0" distR="0">
          <wp:extent cx="1021052"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webcertain.png"/>
                  <pic:cNvPicPr/>
                </pic:nvPicPr>
                <pic:blipFill>
                  <a:blip r:embed="rId1">
                    <a:extLst>
                      <a:ext uri="{28A0092B-C50C-407E-A947-70E740481C1C}">
                        <a14:useLocalDpi xmlns:a14="http://schemas.microsoft.com/office/drawing/2010/main" val="0"/>
                      </a:ext>
                    </a:extLst>
                  </a:blip>
                  <a:stretch>
                    <a:fillRect/>
                  </a:stretch>
                </pic:blipFill>
                <pic:spPr>
                  <a:xfrm>
                    <a:off x="0" y="0"/>
                    <a:ext cx="1247297" cy="3490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4764E"/>
    <w:multiLevelType w:val="hybridMultilevel"/>
    <w:tmpl w:val="6EECE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F48C5"/>
    <w:multiLevelType w:val="hybridMultilevel"/>
    <w:tmpl w:val="458805D6"/>
    <w:lvl w:ilvl="0" w:tplc="0BB8DF3A">
      <w:start w:val="1"/>
      <w:numFmt w:val="lowerLetter"/>
      <w:lvlText w:val="(%1)"/>
      <w:lvlJc w:val="left"/>
      <w:pPr>
        <w:ind w:left="3720" w:hanging="360"/>
      </w:pPr>
      <w:rPr>
        <w:rFonts w:hint="default"/>
      </w:rPr>
    </w:lvl>
    <w:lvl w:ilvl="1" w:tplc="08090019" w:tentative="1">
      <w:start w:val="1"/>
      <w:numFmt w:val="lowerLetter"/>
      <w:lvlText w:val="%2."/>
      <w:lvlJc w:val="left"/>
      <w:pPr>
        <w:ind w:left="4440" w:hanging="360"/>
      </w:pPr>
    </w:lvl>
    <w:lvl w:ilvl="2" w:tplc="0809001B" w:tentative="1">
      <w:start w:val="1"/>
      <w:numFmt w:val="lowerRoman"/>
      <w:lvlText w:val="%3."/>
      <w:lvlJc w:val="right"/>
      <w:pPr>
        <w:ind w:left="5160" w:hanging="180"/>
      </w:pPr>
    </w:lvl>
    <w:lvl w:ilvl="3" w:tplc="0809000F" w:tentative="1">
      <w:start w:val="1"/>
      <w:numFmt w:val="decimal"/>
      <w:lvlText w:val="%4."/>
      <w:lvlJc w:val="left"/>
      <w:pPr>
        <w:ind w:left="5880" w:hanging="360"/>
      </w:pPr>
    </w:lvl>
    <w:lvl w:ilvl="4" w:tplc="08090019" w:tentative="1">
      <w:start w:val="1"/>
      <w:numFmt w:val="lowerLetter"/>
      <w:lvlText w:val="%5."/>
      <w:lvlJc w:val="left"/>
      <w:pPr>
        <w:ind w:left="6600" w:hanging="360"/>
      </w:pPr>
    </w:lvl>
    <w:lvl w:ilvl="5" w:tplc="0809001B" w:tentative="1">
      <w:start w:val="1"/>
      <w:numFmt w:val="lowerRoman"/>
      <w:lvlText w:val="%6."/>
      <w:lvlJc w:val="right"/>
      <w:pPr>
        <w:ind w:left="7320" w:hanging="180"/>
      </w:pPr>
    </w:lvl>
    <w:lvl w:ilvl="6" w:tplc="0809000F" w:tentative="1">
      <w:start w:val="1"/>
      <w:numFmt w:val="decimal"/>
      <w:lvlText w:val="%7."/>
      <w:lvlJc w:val="left"/>
      <w:pPr>
        <w:ind w:left="8040" w:hanging="360"/>
      </w:pPr>
    </w:lvl>
    <w:lvl w:ilvl="7" w:tplc="08090019" w:tentative="1">
      <w:start w:val="1"/>
      <w:numFmt w:val="lowerLetter"/>
      <w:lvlText w:val="%8."/>
      <w:lvlJc w:val="left"/>
      <w:pPr>
        <w:ind w:left="8760" w:hanging="360"/>
      </w:pPr>
    </w:lvl>
    <w:lvl w:ilvl="8" w:tplc="0809001B" w:tentative="1">
      <w:start w:val="1"/>
      <w:numFmt w:val="lowerRoman"/>
      <w:lvlText w:val="%9."/>
      <w:lvlJc w:val="right"/>
      <w:pPr>
        <w:ind w:left="9480" w:hanging="180"/>
      </w:pPr>
    </w:lvl>
  </w:abstractNum>
  <w:abstractNum w:abstractNumId="2" w15:restartNumberingAfterBreak="0">
    <w:nsid w:val="165B442D"/>
    <w:multiLevelType w:val="hybridMultilevel"/>
    <w:tmpl w:val="78E8D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BB6FAA"/>
    <w:multiLevelType w:val="hybridMultilevel"/>
    <w:tmpl w:val="2812B4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EB396B"/>
    <w:multiLevelType w:val="hybridMultilevel"/>
    <w:tmpl w:val="5B38D378"/>
    <w:lvl w:ilvl="0" w:tplc="34C012BA">
      <w:start w:val="1"/>
      <w:numFmt w:val="upperLetter"/>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F9359B"/>
    <w:multiLevelType w:val="hybridMultilevel"/>
    <w:tmpl w:val="64DE095E"/>
    <w:lvl w:ilvl="0" w:tplc="39F60B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28C"/>
    <w:rsid w:val="000750F5"/>
    <w:rsid w:val="00231C1E"/>
    <w:rsid w:val="00281D58"/>
    <w:rsid w:val="003177AF"/>
    <w:rsid w:val="0043334C"/>
    <w:rsid w:val="004C7E93"/>
    <w:rsid w:val="008164EE"/>
    <w:rsid w:val="008D328C"/>
    <w:rsid w:val="00BA40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4A8A1"/>
  <w15:chartTrackingRefBased/>
  <w15:docId w15:val="{031B4165-81C9-48A6-80EE-E88E791CF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sPara1">
    <w:name w:val="ssPara1"/>
    <w:basedOn w:val="Normal"/>
    <w:link w:val="ssPara1Char"/>
    <w:uiPriority w:val="99"/>
    <w:qFormat/>
    <w:rsid w:val="00231C1E"/>
    <w:pPr>
      <w:spacing w:after="260" w:line="240" w:lineRule="auto"/>
      <w:jc w:val="both"/>
    </w:pPr>
    <w:rPr>
      <w:rFonts w:ascii="Arial" w:eastAsia="Times New Roman" w:hAnsi="Arial" w:cs="Times New Roman"/>
      <w:lang w:eastAsia="en-GB"/>
    </w:rPr>
  </w:style>
  <w:style w:type="character" w:customStyle="1" w:styleId="ssPara1Char">
    <w:name w:val="ssPara1 Char"/>
    <w:link w:val="ssPara1"/>
    <w:rsid w:val="00231C1E"/>
    <w:rPr>
      <w:rFonts w:ascii="Arial" w:eastAsia="Times New Roman" w:hAnsi="Arial" w:cs="Times New Roman"/>
      <w:lang w:eastAsia="en-GB"/>
    </w:rPr>
  </w:style>
  <w:style w:type="paragraph" w:styleId="Header">
    <w:name w:val="header"/>
    <w:basedOn w:val="Normal"/>
    <w:link w:val="HeaderChar"/>
    <w:uiPriority w:val="99"/>
    <w:unhideWhenUsed/>
    <w:rsid w:val="004C7E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7E93"/>
  </w:style>
  <w:style w:type="paragraph" w:styleId="Footer">
    <w:name w:val="footer"/>
    <w:basedOn w:val="Normal"/>
    <w:link w:val="FooterChar"/>
    <w:uiPriority w:val="99"/>
    <w:unhideWhenUsed/>
    <w:rsid w:val="004C7E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2C9D3-7F62-419C-8702-5A70F8DD0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Zheng</dc:creator>
  <cp:keywords/>
  <dc:description/>
  <cp:lastModifiedBy>Carmen Cisneros</cp:lastModifiedBy>
  <cp:revision>5</cp:revision>
  <dcterms:created xsi:type="dcterms:W3CDTF">2017-08-10T08:42:00Z</dcterms:created>
  <dcterms:modified xsi:type="dcterms:W3CDTF">2017-08-10T10:45:00Z</dcterms:modified>
</cp:coreProperties>
</file>