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jc w:val="left"/>
        <w:rPr>
          <w:b/>
        </w:rPr>
      </w:pPr>
      <w:r>
        <w:rPr>
          <w:b/>
        </w:rPr>
        <w:t>Please translate the following tasks:</w:t>
      </w:r>
    </w:p>
    <w:p>
      <w:pPr>
        <w:pStyle w:val="6"/>
        <w:jc w:val="left"/>
        <w:rPr>
          <w:b/>
        </w:rPr>
      </w:pPr>
      <w:r>
        <w:rPr>
          <w:b/>
        </w:rPr>
        <w:t xml:space="preserve">Task 1: </w:t>
      </w:r>
    </w:p>
    <w:p>
      <w:pPr>
        <w:pStyle w:val="6"/>
      </w:pPr>
      <w:r>
        <w:t>“Non-United States Person”</w:t>
      </w:r>
    </w:p>
    <w:p>
      <w:pPr>
        <w:pStyle w:val="6"/>
        <w:numPr>
          <w:ilvl w:val="0"/>
          <w:numId w:val="2"/>
        </w:numPr>
      </w:pPr>
      <w:r>
        <w:t xml:space="preserve">a natural person who is not a resident of the United States, </w:t>
      </w:r>
    </w:p>
    <w:p>
      <w:pPr>
        <w:pStyle w:val="6"/>
        <w:numPr>
          <w:ilvl w:val="0"/>
          <w:numId w:val="2"/>
        </w:numPr>
        <w:rPr>
          <w:highlight w:val="none"/>
          <w:u w:val="none"/>
        </w:rPr>
      </w:pPr>
      <w:r>
        <w:rPr>
          <w:highlight w:val="none"/>
          <w:u w:val="none"/>
        </w:rPr>
        <w:t xml:space="preserve">a partnership, corporation or other entity, other than an entity organised principally for passive investment, organised under the laws of a non-US jurisdiction and which has its principal place of business in a non-US jurisdiction, </w:t>
      </w:r>
    </w:p>
    <w:p>
      <w:pPr>
        <w:pStyle w:val="6"/>
        <w:numPr>
          <w:ilvl w:val="0"/>
          <w:numId w:val="2"/>
        </w:numPr>
        <w:rPr>
          <w:u w:val="none"/>
        </w:rPr>
      </w:pPr>
      <w:r>
        <w:rPr>
          <w:u w:val="none"/>
        </w:rPr>
        <w:t xml:space="preserve">an estate or trust, the income of which is not subject to United States income tax regardless of source, </w:t>
      </w:r>
    </w:p>
    <w:p>
      <w:pPr>
        <w:pStyle w:val="6"/>
        <w:numPr>
          <w:ilvl w:val="0"/>
          <w:numId w:val="2"/>
        </w:numPr>
        <w:rPr>
          <w:b w:val="0"/>
          <w:bCs w:val="0"/>
        </w:rPr>
      </w:pPr>
      <w:r>
        <w:rPr>
          <w:b w:val="0"/>
          <w:bCs w:val="0"/>
        </w:rPr>
        <w:t xml:space="preserve">an entity organised principally for passive investment such as a pool, investment company or other similar entity, provided that units of participation in the entity held by persons who do not qualify as Non-United States Persons or otherwise as qualified eligible persons represent in the aggregate less than 10 per cent of the beneficial interest in the entity and that such entity was not formed principally for the purpose of facilitating investment by persons which do not qualify as Non-United States Persons in a commodity pool with respect to which the commodity pool operator is exempt from certain requirements of Part 4 of the CFTC’s regulations by virtue of its participants being Non-United States Persons, and </w:t>
      </w:r>
    </w:p>
    <w:p>
      <w:pPr>
        <w:pStyle w:val="6"/>
        <w:numPr>
          <w:ilvl w:val="0"/>
          <w:numId w:val="2"/>
        </w:numPr>
        <w:rPr>
          <w:b w:val="0"/>
          <w:bCs w:val="0"/>
          <w:u w:val="none"/>
        </w:rPr>
      </w:pPr>
      <w:r>
        <w:rPr>
          <w:b w:val="0"/>
          <w:bCs w:val="0"/>
          <w:u w:val="none"/>
        </w:rPr>
        <w:t>a pension plan for employees, officers or principals of an entity organised and with its principal place of business outside the United States.</w:t>
      </w:r>
    </w:p>
    <w:p>
      <w:pPr>
        <w:pStyle w:val="6"/>
        <w:numPr>
          <w:ilvl w:val="0"/>
          <w:numId w:val="0"/>
        </w:numPr>
        <w:rPr>
          <w:rFonts w:hint="eastAsia"/>
          <w:highlight w:val="none"/>
        </w:rPr>
      </w:pPr>
      <w:r>
        <w:rPr>
          <w:rFonts w:hint="eastAsia"/>
          <w:highlight w:val="none"/>
        </w:rPr>
        <w:t>“非美国</w:t>
      </w:r>
      <w:r>
        <w:rPr>
          <w:rFonts w:hint="eastAsia"/>
          <w:highlight w:val="none"/>
          <w:lang w:val="en-US" w:eastAsia="zh-CN"/>
        </w:rPr>
        <w:t>人士</w:t>
      </w:r>
      <w:r>
        <w:rPr>
          <w:rFonts w:hint="eastAsia"/>
          <w:highlight w:val="none"/>
        </w:rPr>
        <w:t>”</w:t>
      </w:r>
    </w:p>
    <w:p>
      <w:pPr>
        <w:pStyle w:val="6"/>
        <w:numPr>
          <w:ilvl w:val="0"/>
          <w:numId w:val="3"/>
        </w:numPr>
        <w:rPr>
          <w:rFonts w:hint="eastAsia"/>
          <w:highlight w:val="none"/>
        </w:rPr>
      </w:pPr>
      <w:r>
        <w:rPr>
          <w:rFonts w:hint="eastAsia"/>
          <w:highlight w:val="none"/>
        </w:rPr>
        <w:t>非美国居民的自然人，</w:t>
      </w:r>
    </w:p>
    <w:p>
      <w:pPr>
        <w:pStyle w:val="6"/>
        <w:numPr>
          <w:ilvl w:val="0"/>
          <w:numId w:val="3"/>
        </w:numPr>
        <w:rPr>
          <w:rFonts w:hint="eastAsia"/>
          <w:highlight w:val="none"/>
        </w:rPr>
      </w:pPr>
      <w:r>
        <w:rPr>
          <w:rFonts w:hint="eastAsia"/>
          <w:highlight w:val="none"/>
        </w:rPr>
        <w:t>根据非美国司法管辖区法律</w:t>
      </w:r>
      <w:r>
        <w:rPr>
          <w:rFonts w:hint="eastAsia" w:eastAsia="宋体"/>
          <w:highlight w:val="none"/>
          <w:lang w:eastAsia="zh-CN"/>
        </w:rPr>
        <w:t>组建</w:t>
      </w:r>
      <w:r>
        <w:rPr>
          <w:rFonts w:hint="eastAsia" w:eastAsia="宋体"/>
          <w:highlight w:val="none"/>
          <w:lang w:val="en-US" w:eastAsia="zh-CN"/>
        </w:rPr>
        <w:t>且</w:t>
      </w:r>
      <w:r>
        <w:rPr>
          <w:rFonts w:hint="eastAsia"/>
          <w:highlight w:val="none"/>
        </w:rPr>
        <w:t>主要营业</w:t>
      </w:r>
      <w:r>
        <w:rPr>
          <w:rFonts w:hint="eastAsia" w:eastAsia="宋体"/>
          <w:highlight w:val="none"/>
          <w:lang w:val="en-US" w:eastAsia="zh-CN"/>
        </w:rPr>
        <w:t>场所</w:t>
      </w:r>
      <w:r>
        <w:rPr>
          <w:rFonts w:hint="eastAsia"/>
          <w:highlight w:val="none"/>
        </w:rPr>
        <w:t>位于非美国司法管辖区</w:t>
      </w:r>
      <w:r>
        <w:rPr>
          <w:rFonts w:hint="eastAsia" w:eastAsia="宋体"/>
          <w:highlight w:val="none"/>
          <w:lang w:val="en-US" w:eastAsia="zh-CN"/>
        </w:rPr>
        <w:t>的</w:t>
      </w:r>
      <w:r>
        <w:rPr>
          <w:rFonts w:hint="eastAsia"/>
          <w:highlight w:val="none"/>
        </w:rPr>
        <w:t>合伙企业、公司或其他实体，但主要为被动投资</w:t>
      </w:r>
      <w:r>
        <w:rPr>
          <w:rFonts w:hint="eastAsia" w:eastAsia="宋体"/>
          <w:highlight w:val="none"/>
          <w:lang w:val="en-US" w:eastAsia="zh-CN"/>
        </w:rPr>
        <w:t>而组建</w:t>
      </w:r>
      <w:r>
        <w:rPr>
          <w:rFonts w:hint="eastAsia"/>
          <w:highlight w:val="none"/>
        </w:rPr>
        <w:t>的实体除外，</w:t>
      </w:r>
    </w:p>
    <w:p>
      <w:pPr>
        <w:pStyle w:val="6"/>
        <w:numPr>
          <w:ilvl w:val="0"/>
          <w:numId w:val="3"/>
        </w:numPr>
        <w:rPr>
          <w:rFonts w:hint="eastAsia"/>
          <w:highlight w:val="none"/>
        </w:rPr>
      </w:pPr>
      <w:r>
        <w:rPr>
          <w:rFonts w:hint="eastAsia"/>
          <w:highlight w:val="none"/>
        </w:rPr>
        <w:t>不动产或信托，其收入无论来源无需缴纳美国所得税，</w:t>
      </w:r>
    </w:p>
    <w:p>
      <w:pPr>
        <w:pStyle w:val="6"/>
        <w:numPr>
          <w:ilvl w:val="0"/>
          <w:numId w:val="3"/>
        </w:numPr>
        <w:rPr>
          <w:highlight w:val="none"/>
        </w:rPr>
      </w:pPr>
      <w:r>
        <w:rPr>
          <w:rFonts w:hint="eastAsia"/>
          <w:highlight w:val="none"/>
        </w:rPr>
        <w:t>主要为被动投资而组建的实体，例如联营公司、投资公司或其他类似实体，前提是实体参与单位持有者不符合资格（需要为非美国人士）或合资格人士拥有的实体实益权益合计少于10%，并且组建该实体的目的并非主要用于促进不符合资格人士（需要为非美国人士）在商品池中进行投资（商品池运营商因参与者为非美国人士而免除美国商品期货交易委员会规例第 4 部分规定的某些要求），以及</w:t>
      </w:r>
    </w:p>
    <w:p>
      <w:pPr>
        <w:pStyle w:val="6"/>
        <w:numPr>
          <w:ilvl w:val="0"/>
          <w:numId w:val="3"/>
        </w:numPr>
        <w:rPr>
          <w:highlight w:val="none"/>
        </w:rPr>
      </w:pPr>
      <w:r>
        <w:rPr>
          <w:rFonts w:hint="eastAsia"/>
          <w:highlight w:val="none"/>
        </w:rPr>
        <w:t>为美国境外</w:t>
      </w:r>
      <w:r>
        <w:rPr>
          <w:rFonts w:hint="eastAsia" w:eastAsia="宋体"/>
          <w:highlight w:val="none"/>
          <w:lang w:val="en-US" w:eastAsia="zh-CN"/>
        </w:rPr>
        <w:t>组建</w:t>
      </w:r>
      <w:r>
        <w:rPr>
          <w:rFonts w:hint="eastAsia"/>
          <w:highlight w:val="none"/>
          <w:lang w:val="en-US" w:eastAsia="zh-CN"/>
        </w:rPr>
        <w:t>且</w:t>
      </w:r>
      <w:r>
        <w:rPr>
          <w:rFonts w:hint="eastAsia"/>
          <w:highlight w:val="none"/>
        </w:rPr>
        <w:t>主要营业</w:t>
      </w:r>
      <w:r>
        <w:rPr>
          <w:rFonts w:hint="eastAsia" w:eastAsia="宋体"/>
          <w:highlight w:val="none"/>
          <w:lang w:val="en-US" w:eastAsia="zh-CN"/>
        </w:rPr>
        <w:t>场所</w:t>
      </w:r>
      <w:r>
        <w:rPr>
          <w:rFonts w:hint="eastAsia"/>
          <w:highlight w:val="none"/>
          <w:lang w:val="en-US" w:eastAsia="zh-CN"/>
        </w:rPr>
        <w:t>在美国境外的</w:t>
      </w:r>
      <w:r>
        <w:rPr>
          <w:rFonts w:hint="eastAsia"/>
          <w:highlight w:val="none"/>
        </w:rPr>
        <w:t>实体</w:t>
      </w:r>
      <w:r>
        <w:rPr>
          <w:rFonts w:hint="eastAsia" w:eastAsia="宋体"/>
          <w:highlight w:val="none"/>
          <w:lang w:val="en-US" w:eastAsia="zh-CN"/>
        </w:rPr>
        <w:t>的</w:t>
      </w:r>
      <w:r>
        <w:rPr>
          <w:rFonts w:hint="eastAsia"/>
          <w:highlight w:val="none"/>
        </w:rPr>
        <w:t>雇员、管理人员或负责人制定的</w:t>
      </w:r>
      <w:r>
        <w:rPr>
          <w:rFonts w:hint="eastAsia" w:eastAsia="宋体"/>
          <w:highlight w:val="none"/>
          <w:lang w:val="en-US" w:eastAsia="zh-CN"/>
        </w:rPr>
        <w:t>退休</w:t>
      </w:r>
      <w:r>
        <w:rPr>
          <w:rFonts w:hint="eastAsia"/>
          <w:highlight w:val="none"/>
        </w:rPr>
        <w:t>金计划。</w:t>
      </w:r>
    </w:p>
    <w:p>
      <w:pPr>
        <w:pStyle w:val="6"/>
        <w:rPr>
          <w:b/>
        </w:rPr>
      </w:pPr>
    </w:p>
    <w:p>
      <w:pPr>
        <w:pStyle w:val="6"/>
        <w:rPr>
          <w:b/>
        </w:rPr>
      </w:pPr>
    </w:p>
    <w:p>
      <w:pPr>
        <w:pStyle w:val="6"/>
        <w:rPr>
          <w:b/>
        </w:rPr>
      </w:pPr>
    </w:p>
    <w:p>
      <w:pPr>
        <w:pStyle w:val="6"/>
        <w:rPr>
          <w:b/>
        </w:rPr>
      </w:pPr>
    </w:p>
    <w:p>
      <w:pPr>
        <w:pStyle w:val="6"/>
        <w:rPr>
          <w:b/>
        </w:rPr>
      </w:pPr>
      <w:r>
        <w:rPr>
          <w:b/>
        </w:rPr>
        <w:t>Task 2:</w:t>
      </w:r>
    </w:p>
    <w:p>
      <w:pPr>
        <w:pStyle w:val="6"/>
        <w:spacing w:line="260" w:lineRule="atLeast"/>
        <w:rPr>
          <w:b w:val="0"/>
          <w:bCs w:val="0"/>
          <w:highlight w:val="none"/>
          <w:u w:val="none"/>
        </w:rPr>
      </w:pPr>
      <w:r>
        <w:rPr>
          <w:b w:val="0"/>
          <w:bCs w:val="0"/>
          <w:highlight w:val="none"/>
          <w:u w:val="none"/>
        </w:rPr>
        <w:t>The Company is not, nor has been since its incorporation, engaged in any litigation or arbitration and the Directors are not aware of any litigation or arbitration or claims pending or threatened against the Company.</w:t>
      </w:r>
    </w:p>
    <w:p>
      <w:pPr>
        <w:pStyle w:val="6"/>
        <w:spacing w:line="260" w:lineRule="atLeast"/>
        <w:rPr>
          <w:rFonts w:hint="eastAsia"/>
          <w:highlight w:val="none"/>
          <w:u w:val="none"/>
        </w:rPr>
      </w:pPr>
      <w:r>
        <w:rPr>
          <w:rFonts w:hint="eastAsia" w:eastAsia="宋体"/>
          <w:highlight w:val="none"/>
          <w:u w:val="none"/>
          <w:lang w:val="en-US" w:eastAsia="zh-CN"/>
        </w:rPr>
        <w:t>截至本文件出具之日，</w:t>
      </w:r>
      <w:r>
        <w:rPr>
          <w:rFonts w:hint="eastAsia"/>
          <w:highlight w:val="none"/>
          <w:u w:val="none"/>
        </w:rPr>
        <w:t>本公司自注册</w:t>
      </w:r>
      <w:r>
        <w:rPr>
          <w:rFonts w:hint="eastAsia" w:eastAsia="宋体"/>
          <w:highlight w:val="none"/>
          <w:u w:val="none"/>
          <w:lang w:eastAsia="zh-CN"/>
        </w:rPr>
        <w:t>组建</w:t>
      </w:r>
      <w:r>
        <w:rPr>
          <w:rFonts w:hint="eastAsia" w:eastAsia="宋体"/>
          <w:highlight w:val="none"/>
          <w:u w:val="none"/>
          <w:lang w:val="en-US" w:eastAsia="zh-CN"/>
        </w:rPr>
        <w:t>以来概无涉及</w:t>
      </w:r>
      <w:r>
        <w:rPr>
          <w:rFonts w:hint="eastAsia"/>
          <w:highlight w:val="none"/>
          <w:u w:val="none"/>
        </w:rPr>
        <w:t>任何</w:t>
      </w:r>
      <w:r>
        <w:rPr>
          <w:rFonts w:hint="eastAsia" w:eastAsia="宋体"/>
          <w:highlight w:val="none"/>
          <w:u w:val="none"/>
          <w:lang w:val="en-US" w:eastAsia="zh-CN"/>
        </w:rPr>
        <w:t>重大</w:t>
      </w:r>
      <w:r>
        <w:rPr>
          <w:rFonts w:hint="eastAsia"/>
          <w:highlight w:val="none"/>
          <w:u w:val="none"/>
        </w:rPr>
        <w:t>诉讼或仲裁，</w:t>
      </w:r>
      <w:r>
        <w:rPr>
          <w:rFonts w:hint="eastAsia" w:eastAsia="宋体"/>
          <w:highlight w:val="none"/>
          <w:u w:val="none"/>
          <w:lang w:val="en-US" w:eastAsia="zh-CN"/>
        </w:rPr>
        <w:t>且</w:t>
      </w:r>
      <w:r>
        <w:rPr>
          <w:rFonts w:hint="eastAsia"/>
          <w:highlight w:val="none"/>
          <w:u w:val="none"/>
        </w:rPr>
        <w:t>董事并不知悉任何</w:t>
      </w:r>
      <w:r>
        <w:rPr>
          <w:rFonts w:hint="eastAsia" w:eastAsia="宋体"/>
          <w:highlight w:val="none"/>
          <w:u w:val="none"/>
          <w:lang w:val="en-US" w:eastAsia="zh-CN"/>
        </w:rPr>
        <w:t>针对</w:t>
      </w:r>
      <w:r>
        <w:rPr>
          <w:rFonts w:hint="eastAsia"/>
          <w:highlight w:val="none"/>
          <w:u w:val="none"/>
        </w:rPr>
        <w:t>本公司的</w:t>
      </w:r>
      <w:r>
        <w:rPr>
          <w:rFonts w:hint="eastAsia" w:eastAsia="宋体"/>
          <w:highlight w:val="none"/>
          <w:u w:val="none"/>
          <w:lang w:val="en-US" w:eastAsia="zh-CN"/>
        </w:rPr>
        <w:t>尚未完结</w:t>
      </w:r>
      <w:r>
        <w:rPr>
          <w:rFonts w:hint="eastAsia"/>
          <w:highlight w:val="none"/>
          <w:u w:val="none"/>
        </w:rPr>
        <w:t>或</w:t>
      </w:r>
      <w:r>
        <w:rPr>
          <w:rFonts w:hint="eastAsia" w:eastAsia="宋体"/>
          <w:highlight w:val="none"/>
          <w:u w:val="none"/>
          <w:lang w:val="en-US" w:eastAsia="zh-CN"/>
        </w:rPr>
        <w:t>产生威胁的重大</w:t>
      </w:r>
      <w:r>
        <w:rPr>
          <w:rFonts w:hint="eastAsia"/>
          <w:highlight w:val="none"/>
          <w:u w:val="none"/>
        </w:rPr>
        <w:t>诉讼</w:t>
      </w:r>
      <w:r>
        <w:rPr>
          <w:rFonts w:hint="eastAsia" w:eastAsia="宋体"/>
          <w:highlight w:val="none"/>
          <w:u w:val="none"/>
          <w:lang w:eastAsia="zh-CN"/>
        </w:rPr>
        <w:t>、</w:t>
      </w:r>
      <w:r>
        <w:rPr>
          <w:rFonts w:hint="eastAsia"/>
          <w:highlight w:val="none"/>
          <w:u w:val="none"/>
        </w:rPr>
        <w:t>仲裁或</w:t>
      </w:r>
      <w:r>
        <w:rPr>
          <w:rFonts w:hint="eastAsia" w:eastAsia="宋体"/>
          <w:highlight w:val="none"/>
          <w:u w:val="none"/>
          <w:lang w:val="en-US" w:eastAsia="zh-CN"/>
        </w:rPr>
        <w:t>索赔</w:t>
      </w:r>
      <w:r>
        <w:rPr>
          <w:rFonts w:hint="eastAsia"/>
          <w:highlight w:val="none"/>
          <w:u w:val="none"/>
        </w:rPr>
        <w:t>。</w:t>
      </w:r>
    </w:p>
    <w:p>
      <w:pPr>
        <w:pStyle w:val="6"/>
        <w:spacing w:line="260" w:lineRule="atLeast"/>
        <w:rPr>
          <w:b/>
        </w:rPr>
      </w:pPr>
      <w:r>
        <w:rPr>
          <w:b/>
        </w:rPr>
        <w:t>Task 3:</w:t>
      </w:r>
    </w:p>
    <w:p>
      <w:pPr>
        <w:pStyle w:val="6"/>
      </w:pPr>
      <w:r>
        <w:t>On the basis of current Cayman Islands law and practice, the Company is not liable to taxation in the Cayman Islands.</w:t>
      </w:r>
    </w:p>
    <w:p>
      <w:pPr>
        <w:pStyle w:val="6"/>
        <w:rPr>
          <w:rFonts w:hint="default" w:eastAsia="宋体"/>
          <w:lang w:val="en-US" w:eastAsia="zh-CN"/>
        </w:rPr>
      </w:pPr>
      <w:r>
        <w:rPr>
          <w:rFonts w:hint="eastAsia"/>
        </w:rPr>
        <w:t>根据开曼群岛现行法律和惯例，本公司</w:t>
      </w:r>
      <w:r>
        <w:rPr>
          <w:rFonts w:hint="eastAsia" w:eastAsia="宋体"/>
          <w:lang w:val="en-US" w:eastAsia="zh-CN"/>
        </w:rPr>
        <w:t>无需承担</w:t>
      </w:r>
      <w:r>
        <w:rPr>
          <w:rFonts w:hint="eastAsia"/>
        </w:rPr>
        <w:t>在开曼群岛</w:t>
      </w:r>
      <w:r>
        <w:rPr>
          <w:rFonts w:hint="eastAsia" w:eastAsia="宋体"/>
          <w:lang w:val="en-US" w:eastAsia="zh-CN"/>
        </w:rPr>
        <w:t>的税务责任。</w:t>
      </w:r>
    </w:p>
    <w:p>
      <w:pPr>
        <w:pStyle w:val="6"/>
        <w:rPr>
          <w:b/>
        </w:rPr>
      </w:pPr>
      <w:r>
        <w:rPr>
          <w:b/>
        </w:rPr>
        <w:t>Task 4:</w:t>
      </w:r>
    </w:p>
    <w:p>
      <w:pPr>
        <w:pStyle w:val="6"/>
        <w:rPr>
          <w:b w:val="0"/>
          <w:bCs w:val="0"/>
          <w:color w:val="auto"/>
          <w:highlight w:val="none"/>
          <w:u w:val="none"/>
        </w:rPr>
      </w:pPr>
      <w:r>
        <w:rPr>
          <w:b w:val="0"/>
          <w:bCs w:val="0"/>
          <w:color w:val="auto"/>
          <w:highlight w:val="none"/>
          <w:u w:val="none"/>
        </w:rPr>
        <w:t xml:space="preserve">In addition to withholding and other taxes in respect of their investments, Investment Vehicles may be subject to taxation, </w:t>
      </w:r>
      <w:r>
        <w:rPr>
          <w:b w:val="0"/>
          <w:bCs w:val="0"/>
          <w:i/>
          <w:color w:val="auto"/>
          <w:highlight w:val="none"/>
          <w:u w:val="none"/>
        </w:rPr>
        <w:t>inter alia</w:t>
      </w:r>
      <w:r>
        <w:rPr>
          <w:b w:val="0"/>
          <w:bCs w:val="0"/>
          <w:color w:val="auto"/>
          <w:highlight w:val="none"/>
          <w:u w:val="none"/>
        </w:rPr>
        <w:t>, in the jurisdiction in which they are incorporated, although it is expect</w:t>
      </w:r>
      <w:bookmarkStart w:id="0" w:name="_GoBack"/>
      <w:bookmarkEnd w:id="0"/>
      <w:r>
        <w:rPr>
          <w:b w:val="0"/>
          <w:bCs w:val="0"/>
          <w:color w:val="auto"/>
          <w:highlight w:val="none"/>
          <w:u w:val="none"/>
        </w:rPr>
        <w:t>ed that the amount of any resulting liability should only be charged by reference to the residual taxable profit retained by such Investment Vehicles. Where appropriate, rulings will be sought from the relevant taxation authorities that this is the case, although it cannot be guaranteed that such rulings will be obtained in all circumstances.</w:t>
      </w:r>
    </w:p>
    <w:p>
      <w:pPr>
        <w:pStyle w:val="6"/>
        <w:rPr>
          <w:b w:val="0"/>
          <w:bCs w:val="0"/>
        </w:rPr>
      </w:pPr>
      <w:r>
        <w:rPr>
          <w:b w:val="0"/>
          <w:bCs w:val="0"/>
        </w:rPr>
        <w:t>Prospective applicants for Shares should consult their own advisers as to the particular tax consequences of their proposed investment in the Company.</w:t>
      </w:r>
    </w:p>
    <w:p>
      <w:pPr>
        <w:pStyle w:val="6"/>
        <w:rPr>
          <w:rFonts w:hint="eastAsia"/>
          <w:b w:val="0"/>
          <w:bCs w:val="0"/>
          <w:highlight w:val="none"/>
          <w:u w:val="none"/>
        </w:rPr>
      </w:pPr>
      <w:r>
        <w:rPr>
          <w:rFonts w:hint="eastAsia"/>
          <w:b w:val="0"/>
          <w:bCs w:val="0"/>
          <w:color w:val="auto"/>
          <w:highlight w:val="none"/>
          <w:u w:val="none"/>
        </w:rPr>
        <w:t>除了与其投资有关的预扣税和其他税款外，投资工具可能还</w:t>
      </w:r>
      <w:r>
        <w:rPr>
          <w:rFonts w:hint="eastAsia" w:eastAsia="宋体"/>
          <w:b w:val="0"/>
          <w:bCs w:val="0"/>
          <w:color w:val="auto"/>
          <w:highlight w:val="none"/>
          <w:u w:val="none"/>
          <w:lang w:val="en-US" w:eastAsia="zh-CN"/>
        </w:rPr>
        <w:t>涉及</w:t>
      </w:r>
      <w:r>
        <w:rPr>
          <w:rFonts w:hint="eastAsia"/>
          <w:b w:val="0"/>
          <w:bCs w:val="0"/>
          <w:color w:val="auto"/>
          <w:highlight w:val="none"/>
          <w:u w:val="none"/>
        </w:rPr>
        <w:t>其</w:t>
      </w:r>
      <w:r>
        <w:rPr>
          <w:rFonts w:hint="eastAsia" w:eastAsia="宋体"/>
          <w:b w:val="0"/>
          <w:bCs w:val="0"/>
          <w:color w:val="auto"/>
          <w:highlight w:val="none"/>
          <w:u w:val="none"/>
          <w:lang w:val="en-US" w:eastAsia="zh-CN"/>
        </w:rPr>
        <w:t>成立地所在</w:t>
      </w:r>
      <w:r>
        <w:rPr>
          <w:rFonts w:hint="eastAsia"/>
          <w:b w:val="0"/>
          <w:bCs w:val="0"/>
          <w:color w:val="auto"/>
          <w:highlight w:val="none"/>
          <w:u w:val="none"/>
        </w:rPr>
        <w:t>司法管辖区</w:t>
      </w:r>
      <w:r>
        <w:rPr>
          <w:rFonts w:hint="eastAsia" w:eastAsia="宋体"/>
          <w:b w:val="0"/>
          <w:bCs w:val="0"/>
          <w:color w:val="auto"/>
          <w:highlight w:val="none"/>
          <w:u w:val="none"/>
          <w:lang w:val="en-US" w:eastAsia="zh-CN"/>
        </w:rPr>
        <w:t>的额外</w:t>
      </w:r>
      <w:r>
        <w:rPr>
          <w:rFonts w:hint="eastAsia"/>
          <w:b w:val="0"/>
          <w:bCs w:val="0"/>
          <w:color w:val="auto"/>
          <w:highlight w:val="none"/>
          <w:u w:val="none"/>
        </w:rPr>
        <w:t>税款，但预计由此产生的任何</w:t>
      </w:r>
      <w:r>
        <w:rPr>
          <w:rFonts w:hint="eastAsia" w:eastAsia="宋体"/>
          <w:b w:val="0"/>
          <w:bCs w:val="0"/>
          <w:color w:val="auto"/>
          <w:highlight w:val="none"/>
          <w:u w:val="none"/>
          <w:lang w:val="en-US" w:eastAsia="zh-CN"/>
        </w:rPr>
        <w:t>费用</w:t>
      </w:r>
      <w:r>
        <w:rPr>
          <w:rFonts w:hint="eastAsia"/>
          <w:b w:val="0"/>
          <w:bCs w:val="0"/>
          <w:color w:val="auto"/>
          <w:highlight w:val="none"/>
          <w:u w:val="none"/>
        </w:rPr>
        <w:t>应仅</w:t>
      </w:r>
      <w:r>
        <w:rPr>
          <w:rFonts w:hint="eastAsia" w:eastAsia="宋体"/>
          <w:b w:val="0"/>
          <w:bCs w:val="0"/>
          <w:color w:val="auto"/>
          <w:highlight w:val="none"/>
          <w:u w:val="none"/>
          <w:lang w:val="en-US" w:eastAsia="zh-CN"/>
        </w:rPr>
        <w:t>参照</w:t>
      </w:r>
      <w:r>
        <w:rPr>
          <w:rFonts w:hint="eastAsia"/>
          <w:b w:val="0"/>
          <w:bCs w:val="0"/>
          <w:highlight w:val="none"/>
          <w:u w:val="none"/>
        </w:rPr>
        <w:t>此类投资工具保留的剩余应</w:t>
      </w:r>
      <w:r>
        <w:rPr>
          <w:rFonts w:hint="eastAsia" w:eastAsia="宋体"/>
          <w:b w:val="0"/>
          <w:bCs w:val="0"/>
          <w:highlight w:val="none"/>
          <w:u w:val="none"/>
          <w:lang w:val="en-US" w:eastAsia="zh-CN"/>
        </w:rPr>
        <w:t>纳税</w:t>
      </w:r>
      <w:r>
        <w:rPr>
          <w:rFonts w:hint="eastAsia"/>
          <w:b w:val="0"/>
          <w:bCs w:val="0"/>
          <w:highlight w:val="none"/>
          <w:u w:val="none"/>
        </w:rPr>
        <w:t>利润</w:t>
      </w:r>
      <w:r>
        <w:rPr>
          <w:rFonts w:hint="eastAsia" w:eastAsia="宋体"/>
          <w:b w:val="0"/>
          <w:bCs w:val="0"/>
          <w:highlight w:val="none"/>
          <w:u w:val="none"/>
          <w:lang w:val="en-US" w:eastAsia="zh-CN"/>
        </w:rPr>
        <w:t>收取</w:t>
      </w:r>
      <w:r>
        <w:rPr>
          <w:rFonts w:hint="eastAsia"/>
          <w:b w:val="0"/>
          <w:bCs w:val="0"/>
          <w:highlight w:val="none"/>
          <w:u w:val="none"/>
        </w:rPr>
        <w:t>。</w:t>
      </w:r>
      <w:r>
        <w:rPr>
          <w:rFonts w:hint="eastAsia" w:eastAsia="宋体"/>
          <w:b w:val="0"/>
          <w:bCs w:val="0"/>
          <w:highlight w:val="none"/>
          <w:u w:val="none"/>
          <w:lang w:val="en-US" w:eastAsia="zh-CN"/>
        </w:rPr>
        <w:t>必要时将就该情况向有关</w:t>
      </w:r>
      <w:r>
        <w:rPr>
          <w:rFonts w:hint="eastAsia"/>
          <w:b w:val="0"/>
          <w:bCs w:val="0"/>
          <w:highlight w:val="none"/>
          <w:u w:val="none"/>
        </w:rPr>
        <w:t>税务机关</w:t>
      </w:r>
      <w:r>
        <w:rPr>
          <w:rFonts w:hint="eastAsia" w:eastAsia="宋体"/>
          <w:b w:val="0"/>
          <w:bCs w:val="0"/>
          <w:highlight w:val="none"/>
          <w:u w:val="none"/>
          <w:lang w:val="en-US" w:eastAsia="zh-CN"/>
        </w:rPr>
        <w:t>请求</w:t>
      </w:r>
      <w:r>
        <w:rPr>
          <w:rFonts w:hint="eastAsia"/>
          <w:b w:val="0"/>
          <w:bCs w:val="0"/>
          <w:highlight w:val="none"/>
          <w:u w:val="none"/>
        </w:rPr>
        <w:t>裁定，但</w:t>
      </w:r>
      <w:r>
        <w:rPr>
          <w:rFonts w:hint="eastAsia" w:eastAsia="宋体"/>
          <w:b w:val="0"/>
          <w:bCs w:val="0"/>
          <w:highlight w:val="none"/>
          <w:u w:val="none"/>
          <w:lang w:val="en-US" w:eastAsia="zh-CN"/>
        </w:rPr>
        <w:t>无法</w:t>
      </w:r>
      <w:r>
        <w:rPr>
          <w:rFonts w:hint="eastAsia"/>
          <w:b w:val="0"/>
          <w:bCs w:val="0"/>
          <w:highlight w:val="none"/>
          <w:u w:val="none"/>
        </w:rPr>
        <w:t>保证在所有情况下都会获得此类裁定。</w:t>
      </w:r>
    </w:p>
    <w:p>
      <w:pPr>
        <w:pStyle w:val="6"/>
        <w:rPr>
          <w:rFonts w:hint="eastAsia"/>
          <w:b w:val="0"/>
          <w:bCs w:val="0"/>
          <w:highlight w:val="none"/>
        </w:rPr>
      </w:pPr>
      <w:r>
        <w:rPr>
          <w:rFonts w:hint="eastAsia" w:eastAsia="宋体"/>
          <w:b w:val="0"/>
          <w:bCs w:val="0"/>
          <w:highlight w:val="none"/>
          <w:lang w:val="en-US" w:eastAsia="zh-CN"/>
        </w:rPr>
        <w:t>股份</w:t>
      </w:r>
      <w:r>
        <w:rPr>
          <w:rFonts w:hint="eastAsia"/>
          <w:b w:val="0"/>
          <w:bCs w:val="0"/>
          <w:highlight w:val="none"/>
        </w:rPr>
        <w:t>潜在</w:t>
      </w:r>
      <w:r>
        <w:rPr>
          <w:rFonts w:hint="eastAsia" w:eastAsia="宋体"/>
          <w:b w:val="0"/>
          <w:bCs w:val="0"/>
          <w:highlight w:val="none"/>
          <w:lang w:val="en-US" w:eastAsia="zh-CN"/>
        </w:rPr>
        <w:t>投资者</w:t>
      </w:r>
      <w:r>
        <w:rPr>
          <w:rFonts w:hint="eastAsia"/>
          <w:b w:val="0"/>
          <w:bCs w:val="0"/>
          <w:highlight w:val="none"/>
        </w:rPr>
        <w:t>应就其</w:t>
      </w:r>
      <w:r>
        <w:rPr>
          <w:rFonts w:hint="eastAsia" w:eastAsia="宋体"/>
          <w:b w:val="0"/>
          <w:bCs w:val="0"/>
          <w:highlight w:val="none"/>
          <w:lang w:val="en-US" w:eastAsia="zh-CN"/>
        </w:rPr>
        <w:t>于本公司拟定投资</w:t>
      </w:r>
      <w:r>
        <w:rPr>
          <w:rFonts w:hint="eastAsia"/>
          <w:b w:val="0"/>
          <w:bCs w:val="0"/>
          <w:highlight w:val="none"/>
        </w:rPr>
        <w:t>的</w:t>
      </w:r>
      <w:r>
        <w:rPr>
          <w:rFonts w:hint="eastAsia" w:eastAsia="宋体"/>
          <w:b w:val="0"/>
          <w:bCs w:val="0"/>
          <w:highlight w:val="none"/>
          <w:lang w:val="en-US" w:eastAsia="zh-CN"/>
        </w:rPr>
        <w:t>具体</w:t>
      </w:r>
      <w:r>
        <w:rPr>
          <w:rFonts w:hint="eastAsia"/>
          <w:b w:val="0"/>
          <w:bCs w:val="0"/>
          <w:highlight w:val="none"/>
        </w:rPr>
        <w:t>税务后果咨询</w:t>
      </w:r>
      <w:r>
        <w:rPr>
          <w:rFonts w:hint="eastAsia" w:eastAsia="宋体"/>
          <w:b w:val="0"/>
          <w:bCs w:val="0"/>
          <w:highlight w:val="none"/>
          <w:lang w:val="en-US" w:eastAsia="zh-CN"/>
        </w:rPr>
        <w:t>其</w:t>
      </w:r>
      <w:r>
        <w:rPr>
          <w:rFonts w:hint="eastAsia"/>
          <w:b w:val="0"/>
          <w:bCs w:val="0"/>
          <w:highlight w:val="none"/>
        </w:rPr>
        <w:t>顾问。</w:t>
      </w: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0"/>
      </w:rPr>
    </w:pPr>
    <w:r>
      <w:rPr>
        <w:sz w:val="20"/>
      </w:rPr>
      <w:fldChar w:fldCharType="begin"/>
    </w:r>
    <w:r>
      <w:rPr>
        <w:sz w:val="20"/>
      </w:rPr>
      <w:instrText xml:space="preserve"> DATE \@ "dddd, dd MMMM yyyy" </w:instrText>
    </w:r>
    <w:r>
      <w:rPr>
        <w:sz w:val="20"/>
      </w:rPr>
      <w:fldChar w:fldCharType="separate"/>
    </w:r>
    <w:r>
      <w:rPr>
        <w:sz w:val="20"/>
      </w:rPr>
      <w:t>Saturday, 21 January 2023</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2"/>
      </w:rPr>
      <w:t>This document is confidential and should not be shared with any third party without approval from Webcertain Translates. The document is managed by Webcertain Translates and it will be stored for future reference only. This document will not be used in any other way than testing purposes by Webcertain Translates or the Client.</w:t>
    </w:r>
    <w:r>
      <w:ptab w:relativeTo="margin" w:alignment="center" w:leader="none"/>
    </w:r>
    <w:r>
      <w:ptab w:relativeTo="margin" w:alignment="right" w:leader="none"/>
    </w:r>
    <w:r>
      <w:drawing>
        <wp:inline distT="0" distB="0" distL="0" distR="0">
          <wp:extent cx="1020445"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7297" cy="3490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D9CDE"/>
    <w:multiLevelType w:val="multilevel"/>
    <w:tmpl w:val="99DD9CD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7BB6FAA"/>
    <w:multiLevelType w:val="multilevel"/>
    <w:tmpl w:val="27BB6FA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DF9359B"/>
    <w:multiLevelType w:val="multilevel"/>
    <w:tmpl w:val="6DF9359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MmExOTgwN2U1YzEyZDUzZjg3MTMwNjY2MDZhOTIifQ=="/>
  </w:docVars>
  <w:rsids>
    <w:rsidRoot w:val="008D328C"/>
    <w:rsid w:val="000750F5"/>
    <w:rsid w:val="00231C1E"/>
    <w:rsid w:val="00281D58"/>
    <w:rsid w:val="003177AF"/>
    <w:rsid w:val="0043334C"/>
    <w:rsid w:val="004C7E93"/>
    <w:rsid w:val="008164EE"/>
    <w:rsid w:val="008D328C"/>
    <w:rsid w:val="00BA4095"/>
    <w:rsid w:val="04CA018A"/>
    <w:rsid w:val="055D3120"/>
    <w:rsid w:val="087B7D1C"/>
    <w:rsid w:val="1C9571A6"/>
    <w:rsid w:val="27343601"/>
    <w:rsid w:val="33590AD6"/>
    <w:rsid w:val="3376761C"/>
    <w:rsid w:val="36300409"/>
    <w:rsid w:val="3A300773"/>
    <w:rsid w:val="3F202A41"/>
    <w:rsid w:val="4E303AA0"/>
    <w:rsid w:val="4E5B5661"/>
    <w:rsid w:val="512734B9"/>
    <w:rsid w:val="5F420BAC"/>
    <w:rsid w:val="60646606"/>
    <w:rsid w:val="67896ED4"/>
    <w:rsid w:val="67FC3283"/>
    <w:rsid w:val="68D52D4D"/>
    <w:rsid w:val="6E826C8C"/>
    <w:rsid w:val="6F153CD3"/>
    <w:rsid w:val="6F975F07"/>
    <w:rsid w:val="724021A9"/>
    <w:rsid w:val="78316298"/>
    <w:rsid w:val="7BEB3A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GB"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513"/>
        <w:tab w:val="right" w:pos="9026"/>
      </w:tabs>
      <w:spacing w:after="0" w:line="240" w:lineRule="auto"/>
    </w:pPr>
  </w:style>
  <w:style w:type="paragraph" w:styleId="3">
    <w:name w:val="header"/>
    <w:basedOn w:val="1"/>
    <w:link w:val="8"/>
    <w:unhideWhenUsed/>
    <w:qFormat/>
    <w:uiPriority w:val="99"/>
    <w:pPr>
      <w:tabs>
        <w:tab w:val="center" w:pos="4513"/>
        <w:tab w:val="right" w:pos="9026"/>
      </w:tabs>
      <w:spacing w:after="0" w:line="240" w:lineRule="auto"/>
    </w:pPr>
  </w:style>
  <w:style w:type="paragraph" w:customStyle="1" w:styleId="6">
    <w:name w:val="ssPara1"/>
    <w:basedOn w:val="1"/>
    <w:link w:val="7"/>
    <w:qFormat/>
    <w:uiPriority w:val="99"/>
    <w:pPr>
      <w:spacing w:after="260" w:line="240" w:lineRule="auto"/>
      <w:jc w:val="both"/>
    </w:pPr>
    <w:rPr>
      <w:rFonts w:ascii="Arial" w:hAnsi="Arial" w:eastAsia="Times New Roman" w:cs="Times New Roman"/>
      <w:lang w:eastAsia="en-GB"/>
    </w:rPr>
  </w:style>
  <w:style w:type="character" w:customStyle="1" w:styleId="7">
    <w:name w:val="ssPara1 Char"/>
    <w:link w:val="6"/>
    <w:uiPriority w:val="0"/>
    <w:rPr>
      <w:rFonts w:ascii="Arial" w:hAnsi="Arial" w:eastAsia="Times New Roman" w:cs="Times New Roman"/>
      <w:lang w:eastAsia="en-GB"/>
    </w:rPr>
  </w:style>
  <w:style w:type="character" w:customStyle="1" w:styleId="8">
    <w:name w:val="Header Char"/>
    <w:basedOn w:val="5"/>
    <w:link w:val="3"/>
    <w:uiPriority w:val="99"/>
  </w:style>
  <w:style w:type="character" w:customStyle="1" w:styleId="9">
    <w:name w:val="Footer Char"/>
    <w:basedOn w:val="5"/>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2C9D3-7F62-419C-8702-5A70F8DD03F4}">
  <ds:schemaRefs/>
</ds:datastoreItem>
</file>

<file path=docProps/app.xml><?xml version="1.0" encoding="utf-8"?>
<Properties xmlns="http://schemas.openxmlformats.org/officeDocument/2006/extended-properties" xmlns:vt="http://schemas.openxmlformats.org/officeDocument/2006/docPropsVTypes">
  <Template>Normal</Template>
  <Pages>2</Pages>
  <Words>958</Words>
  <Characters>2594</Characters>
  <Lines>17</Lines>
  <Paragraphs>4</Paragraphs>
  <TotalTime>70</TotalTime>
  <ScaleCrop>false</ScaleCrop>
  <LinksUpToDate>false</LinksUpToDate>
  <CharactersWithSpaces>2971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2017-08-10T08:42:00Z</dcterms:created>
  <dc:creator>Sophie Zheng</dc:creator>
  <cp:lastModifiedBy>WPS_397076515</cp:lastModifiedBy>
  <dcterms:modified xsi:type="dcterms:W3CDTF">2023-01-21T07:10:14Z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88ABE693BBCC4A9B8F52AD75056F3696</vt:lpwstr>
  </property>
</Properties>
</file>